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E5" w:rsidRPr="00D832C3" w:rsidRDefault="003605E5" w:rsidP="00116F89">
      <w:pPr>
        <w:jc w:val="both"/>
        <w:rPr>
          <w:rStyle w:val="Textoennegrita"/>
          <w:rFonts w:ascii="Trebuchet MS" w:hAnsi="Trebuchet MS" w:cs="Arial"/>
          <w:sz w:val="22"/>
          <w:szCs w:val="22"/>
        </w:rPr>
      </w:pPr>
      <w:r w:rsidRPr="00D832C3">
        <w:rPr>
          <w:rFonts w:ascii="Century Gothic" w:hAnsi="Century Gothic"/>
          <w:b/>
          <w:sz w:val="22"/>
          <w:szCs w:val="28"/>
        </w:rPr>
        <w:t>PLIEGO DE BASES TÉCNICAS PAR</w:t>
      </w:r>
      <w:r w:rsidR="00F922D5">
        <w:rPr>
          <w:rFonts w:ascii="Century Gothic" w:hAnsi="Century Gothic"/>
          <w:b/>
          <w:sz w:val="22"/>
          <w:szCs w:val="28"/>
        </w:rPr>
        <w:t>A</w:t>
      </w:r>
      <w:r w:rsidRPr="00D832C3">
        <w:rPr>
          <w:rFonts w:ascii="Century Gothic" w:hAnsi="Century Gothic"/>
          <w:b/>
          <w:sz w:val="22"/>
          <w:szCs w:val="28"/>
        </w:rPr>
        <w:t xml:space="preserve"> LA</w:t>
      </w:r>
      <w:r w:rsidRPr="00D832C3">
        <w:rPr>
          <w:rFonts w:ascii="Century Gothic" w:hAnsi="Century Gothic"/>
          <w:sz w:val="22"/>
          <w:szCs w:val="28"/>
        </w:rPr>
        <w:t xml:space="preserve"> </w:t>
      </w:r>
      <w:r w:rsidRPr="00D832C3">
        <w:rPr>
          <w:rStyle w:val="Textoennegrita"/>
          <w:rFonts w:ascii="Trebuchet MS" w:hAnsi="Trebuchet MS" w:cs="Arial"/>
          <w:sz w:val="22"/>
          <w:szCs w:val="22"/>
        </w:rPr>
        <w:t xml:space="preserve">CONTRATACIÓN DE SERVICIOS </w:t>
      </w:r>
      <w:r w:rsidR="00B038A2">
        <w:rPr>
          <w:rStyle w:val="Textoennegrita"/>
          <w:rFonts w:ascii="Trebuchet MS" w:hAnsi="Trebuchet MS" w:cs="Arial"/>
          <w:sz w:val="22"/>
          <w:szCs w:val="22"/>
        </w:rPr>
        <w:t>DE ASISTENCIA TÉCNICA PARA LA DEFINICIÓN DEL MODELO DE CENTRO DE EXCELENCIA EN REDES ELÉCTRICAS EN BIZKAIA</w:t>
      </w:r>
      <w:r w:rsidRPr="00D832C3">
        <w:rPr>
          <w:rStyle w:val="Textoennegrita"/>
          <w:rFonts w:ascii="Trebuchet MS" w:hAnsi="Trebuchet MS" w:cs="Arial"/>
          <w:sz w:val="22"/>
          <w:szCs w:val="22"/>
        </w:rPr>
        <w:t xml:space="preserve">. </w:t>
      </w:r>
    </w:p>
    <w:p w:rsidR="007E0854" w:rsidRPr="00D832C3" w:rsidRDefault="007E0854" w:rsidP="00116F89">
      <w:pPr>
        <w:jc w:val="both"/>
        <w:rPr>
          <w:rFonts w:ascii="Trebuchet MS" w:hAnsi="Trebuchet MS"/>
          <w:sz w:val="22"/>
          <w:szCs w:val="22"/>
        </w:rPr>
      </w:pPr>
    </w:p>
    <w:p w:rsidR="005923E1" w:rsidRDefault="005923E1" w:rsidP="00D01A7D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8A133A" w:rsidRPr="005923E1" w:rsidRDefault="005923E1" w:rsidP="00D01A7D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 xml:space="preserve">1. </w:t>
      </w:r>
      <w:r w:rsidR="001D2230" w:rsidRPr="005923E1">
        <w:rPr>
          <w:rFonts w:ascii="Trebuchet MS" w:hAnsi="Trebuchet MS"/>
          <w:sz w:val="20"/>
          <w:szCs w:val="20"/>
          <w:u w:val="single"/>
        </w:rPr>
        <w:t>ANTECEDENTES</w:t>
      </w:r>
    </w:p>
    <w:p w:rsidR="001D2230" w:rsidRDefault="001D2230" w:rsidP="00D01A7D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9D34E2" w:rsidRPr="001776A6" w:rsidRDefault="009D34E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1D2230">
        <w:rPr>
          <w:rFonts w:ascii="Trebuchet MS" w:hAnsi="Trebuchet MS"/>
          <w:sz w:val="20"/>
          <w:szCs w:val="20"/>
        </w:rPr>
        <w:t>La Asociación</w:t>
      </w:r>
      <w:r>
        <w:rPr>
          <w:rFonts w:ascii="Trebuchet MS" w:hAnsi="Trebuchet MS"/>
          <w:sz w:val="20"/>
          <w:szCs w:val="20"/>
        </w:rPr>
        <w:t xml:space="preserve"> para la Revitalización del Bilbao Metropolitano (en adelante Bilbao Metropoli-30) </w:t>
      </w:r>
      <w:r w:rsidRPr="001776A6">
        <w:rPr>
          <w:rFonts w:ascii="Trebuchet MS" w:hAnsi="Trebuchet MS"/>
          <w:sz w:val="20"/>
          <w:szCs w:val="20"/>
        </w:rPr>
        <w:t xml:space="preserve">ha recibido de la Diputación Foral de </w:t>
      </w:r>
      <w:proofErr w:type="spellStart"/>
      <w:r w:rsidRPr="001776A6">
        <w:rPr>
          <w:rFonts w:ascii="Trebuchet MS" w:hAnsi="Trebuchet MS"/>
          <w:sz w:val="20"/>
          <w:szCs w:val="20"/>
        </w:rPr>
        <w:t>Bizkaia</w:t>
      </w:r>
      <w:proofErr w:type="spellEnd"/>
      <w:r w:rsidRPr="001776A6">
        <w:rPr>
          <w:rFonts w:ascii="Trebuchet MS" w:hAnsi="Trebuchet MS"/>
          <w:sz w:val="20"/>
          <w:szCs w:val="20"/>
        </w:rPr>
        <w:t xml:space="preserve"> una subvención nominativa para la promoción de la internacionalización empresarial de </w:t>
      </w:r>
      <w:proofErr w:type="spellStart"/>
      <w:r w:rsidRPr="001776A6">
        <w:rPr>
          <w:rFonts w:ascii="Trebuchet MS" w:hAnsi="Trebuchet MS"/>
          <w:sz w:val="20"/>
          <w:szCs w:val="20"/>
        </w:rPr>
        <w:t>Bizkaia</w:t>
      </w:r>
      <w:proofErr w:type="spellEnd"/>
      <w:r w:rsidRPr="001776A6">
        <w:rPr>
          <w:rFonts w:ascii="Trebuchet MS" w:hAnsi="Trebuchet MS"/>
          <w:sz w:val="20"/>
          <w:szCs w:val="20"/>
        </w:rPr>
        <w:t xml:space="preserve"> con fecha de 13 de febrero 2018, entre cuyos objetivos destacan los siguientes: </w:t>
      </w:r>
    </w:p>
    <w:p w:rsidR="009D34E2" w:rsidRPr="001776A6" w:rsidRDefault="009D34E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D34E2" w:rsidRPr="001776A6" w:rsidRDefault="009D34E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1776A6">
        <w:rPr>
          <w:rFonts w:ascii="Trebuchet MS" w:hAnsi="Trebuchet MS"/>
          <w:sz w:val="20"/>
          <w:szCs w:val="20"/>
        </w:rPr>
        <w:t xml:space="preserve">- Misiones directas a países extranjeros con participación institucional, empresarial y de otros agentes socioeconómicos de </w:t>
      </w:r>
      <w:proofErr w:type="spellStart"/>
      <w:r w:rsidRPr="001776A6">
        <w:rPr>
          <w:rFonts w:ascii="Trebuchet MS" w:hAnsi="Trebuchet MS"/>
          <w:sz w:val="20"/>
          <w:szCs w:val="20"/>
        </w:rPr>
        <w:t>Bizkaia</w:t>
      </w:r>
      <w:proofErr w:type="spellEnd"/>
      <w:r w:rsidRPr="001776A6">
        <w:rPr>
          <w:rFonts w:ascii="Trebuchet MS" w:hAnsi="Trebuchet MS"/>
          <w:sz w:val="20"/>
          <w:szCs w:val="20"/>
        </w:rPr>
        <w:t>.</w:t>
      </w:r>
    </w:p>
    <w:p w:rsidR="009D34E2" w:rsidRPr="001776A6" w:rsidRDefault="009D34E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1776A6">
        <w:rPr>
          <w:rFonts w:ascii="Trebuchet MS" w:hAnsi="Trebuchet MS"/>
          <w:sz w:val="20"/>
          <w:szCs w:val="20"/>
        </w:rPr>
        <w:t>- Recepción y atención a misiones de agentes socio-económicos de otros países.</w:t>
      </w:r>
    </w:p>
    <w:p w:rsidR="009D34E2" w:rsidRPr="001776A6" w:rsidRDefault="009D34E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1776A6">
        <w:rPr>
          <w:rFonts w:ascii="Trebuchet MS" w:hAnsi="Trebuchet MS"/>
          <w:sz w:val="20"/>
          <w:szCs w:val="20"/>
        </w:rPr>
        <w:t xml:space="preserve">- Labores de difusión de la imagen del Territorio Histórico de </w:t>
      </w:r>
      <w:proofErr w:type="spellStart"/>
      <w:r w:rsidRPr="001776A6">
        <w:rPr>
          <w:rFonts w:ascii="Trebuchet MS" w:hAnsi="Trebuchet MS"/>
          <w:sz w:val="20"/>
          <w:szCs w:val="20"/>
        </w:rPr>
        <w:t>Bizkaia</w:t>
      </w:r>
      <w:proofErr w:type="spellEnd"/>
      <w:r w:rsidRPr="001776A6">
        <w:rPr>
          <w:rFonts w:ascii="Trebuchet MS" w:hAnsi="Trebuchet MS"/>
          <w:sz w:val="20"/>
          <w:szCs w:val="20"/>
        </w:rPr>
        <w:t>.</w:t>
      </w:r>
    </w:p>
    <w:p w:rsidR="009D34E2" w:rsidRPr="001776A6" w:rsidRDefault="009D34E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1776A6">
        <w:rPr>
          <w:rFonts w:ascii="Trebuchet MS" w:hAnsi="Trebuchet MS"/>
          <w:sz w:val="20"/>
          <w:szCs w:val="20"/>
        </w:rPr>
        <w:t xml:space="preserve">- Jornadas de presentación y reuniones tanto en el extranjero como en </w:t>
      </w:r>
      <w:proofErr w:type="spellStart"/>
      <w:r w:rsidRPr="001776A6">
        <w:rPr>
          <w:rFonts w:ascii="Trebuchet MS" w:hAnsi="Trebuchet MS"/>
          <w:sz w:val="20"/>
          <w:szCs w:val="20"/>
        </w:rPr>
        <w:t>Bizkaia</w:t>
      </w:r>
      <w:proofErr w:type="spellEnd"/>
      <w:r w:rsidRPr="001776A6">
        <w:rPr>
          <w:rFonts w:ascii="Trebuchet MS" w:hAnsi="Trebuchet MS"/>
          <w:sz w:val="20"/>
          <w:szCs w:val="20"/>
        </w:rPr>
        <w:t>.</w:t>
      </w:r>
    </w:p>
    <w:p w:rsidR="009D34E2" w:rsidRDefault="009D34E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1776A6">
        <w:rPr>
          <w:rFonts w:ascii="Trebuchet MS" w:hAnsi="Trebuchet MS"/>
          <w:sz w:val="20"/>
          <w:szCs w:val="20"/>
        </w:rPr>
        <w:t>- Búsqueda y establecimiento de contactos con agentes socio-económicos de otros países.</w:t>
      </w:r>
    </w:p>
    <w:p w:rsidR="009D34E2" w:rsidRDefault="009D34E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Estudios de prospección en otros países.</w:t>
      </w:r>
    </w:p>
    <w:p w:rsidR="009D34E2" w:rsidRDefault="009D34E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Gestión de acuerdos de colaboración con entidades de otros países.</w:t>
      </w:r>
    </w:p>
    <w:p w:rsidR="009D34E2" w:rsidRDefault="009D34E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Movilizar e interactuar con los agentes socio-económicos de </w:t>
      </w:r>
      <w:proofErr w:type="spellStart"/>
      <w:r>
        <w:rPr>
          <w:rFonts w:ascii="Trebuchet MS" w:hAnsi="Trebuchet MS"/>
          <w:sz w:val="20"/>
          <w:szCs w:val="20"/>
        </w:rPr>
        <w:t>Bizkaia</w:t>
      </w:r>
      <w:proofErr w:type="spellEnd"/>
      <w:r>
        <w:rPr>
          <w:rFonts w:ascii="Trebuchet MS" w:hAnsi="Trebuchet MS"/>
          <w:sz w:val="20"/>
          <w:szCs w:val="20"/>
        </w:rPr>
        <w:t>, para facilitar su participación en los eventos.</w:t>
      </w:r>
    </w:p>
    <w:p w:rsidR="009D34E2" w:rsidRPr="001776A6" w:rsidRDefault="009D34E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Ejecución de otras actividades con el fin de promover la internacionalización de la economía de </w:t>
      </w:r>
      <w:proofErr w:type="spellStart"/>
      <w:r>
        <w:rPr>
          <w:rFonts w:ascii="Trebuchet MS" w:hAnsi="Trebuchet MS"/>
          <w:sz w:val="20"/>
          <w:szCs w:val="20"/>
        </w:rPr>
        <w:t>Bizkaia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D2230" w:rsidRPr="001D2230" w:rsidRDefault="001D2230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D2230" w:rsidRPr="001D2230" w:rsidRDefault="001D2230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4156B0" w:rsidRDefault="005923E1" w:rsidP="00D01A7D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2</w:t>
      </w:r>
      <w:r w:rsidR="003137DE">
        <w:rPr>
          <w:rFonts w:ascii="Trebuchet MS" w:hAnsi="Trebuchet MS"/>
          <w:sz w:val="20"/>
          <w:szCs w:val="20"/>
          <w:u w:val="single"/>
        </w:rPr>
        <w:t xml:space="preserve">. </w:t>
      </w:r>
      <w:r w:rsidR="00B038A2">
        <w:rPr>
          <w:rFonts w:ascii="Trebuchet MS" w:hAnsi="Trebuchet MS"/>
          <w:sz w:val="20"/>
          <w:szCs w:val="20"/>
          <w:u w:val="single"/>
        </w:rPr>
        <w:t>DESCRIPCIÓN DE OBJETIVOS</w:t>
      </w:r>
    </w:p>
    <w:p w:rsidR="008A133A" w:rsidRDefault="008A133A" w:rsidP="00D01A7D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En primer lugar, Bilbao MEtropoli-30 </w:t>
      </w:r>
      <w:r w:rsidRPr="001D2230">
        <w:rPr>
          <w:rFonts w:ascii="Trebuchet MS" w:hAnsi="Trebuchet MS"/>
          <w:sz w:val="20"/>
          <w:szCs w:val="20"/>
        </w:rPr>
        <w:t>se constituye para realizar proyectos de planificación, estudio y promoción, dirigidos hacia la recuperación y revitalización del Bilbao Metropolitano, definido como una realidad social y económica sin unos límites geográficos precisos y cuya existencia se ha proyectado por todo su entorno regional e internacional.</w:t>
      </w:r>
    </w:p>
    <w:p w:rsid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Así mismo, tiene entre sus fines</w:t>
      </w:r>
      <w:r w:rsidRPr="00B038A2">
        <w:t xml:space="preserve"> </w:t>
      </w:r>
      <w:r w:rsidRPr="00B038A2">
        <w:rPr>
          <w:rFonts w:ascii="Trebuchet MS" w:hAnsi="Trebuchet MS"/>
          <w:sz w:val="20"/>
          <w:szCs w:val="20"/>
        </w:rPr>
        <w:t>el impulso a la realización y puesta en práctica del Plan Estratégico para la Revitalización del Bilbao Metropolitano. Igualmente podrá acometer cuantas acciones derivadas del mismo sean confiadas a su responsabilidad.</w:t>
      </w:r>
    </w:p>
    <w:p w:rsid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038A2" w:rsidRP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 otro lado</w:t>
      </w:r>
      <w:r w:rsidRPr="00B038A2">
        <w:rPr>
          <w:rFonts w:ascii="Trebuchet MS" w:hAnsi="Trebuchet MS"/>
          <w:sz w:val="20"/>
          <w:szCs w:val="20"/>
        </w:rPr>
        <w:t xml:space="preserve">, tanto la Diputación Foral de </w:t>
      </w:r>
      <w:proofErr w:type="spellStart"/>
      <w:r w:rsidRPr="00B038A2">
        <w:rPr>
          <w:rFonts w:ascii="Trebuchet MS" w:hAnsi="Trebuchet MS"/>
          <w:sz w:val="20"/>
          <w:szCs w:val="20"/>
        </w:rPr>
        <w:t>Bizkaia</w:t>
      </w:r>
      <w:proofErr w:type="spellEnd"/>
      <w:r w:rsidRPr="00B038A2">
        <w:rPr>
          <w:rFonts w:ascii="Trebuchet MS" w:hAnsi="Trebuchet MS"/>
          <w:sz w:val="20"/>
          <w:szCs w:val="20"/>
        </w:rPr>
        <w:t xml:space="preserve"> / </w:t>
      </w:r>
      <w:proofErr w:type="spellStart"/>
      <w:r w:rsidRPr="00B038A2">
        <w:rPr>
          <w:rFonts w:ascii="Trebuchet MS" w:hAnsi="Trebuchet MS"/>
          <w:sz w:val="20"/>
          <w:szCs w:val="20"/>
        </w:rPr>
        <w:t>Bizkaiko</w:t>
      </w:r>
      <w:proofErr w:type="spellEnd"/>
      <w:r w:rsidRPr="00B038A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38A2">
        <w:rPr>
          <w:rFonts w:ascii="Trebuchet MS" w:hAnsi="Trebuchet MS"/>
          <w:sz w:val="20"/>
          <w:szCs w:val="20"/>
        </w:rPr>
        <w:t>Foru</w:t>
      </w:r>
      <w:proofErr w:type="spellEnd"/>
      <w:r w:rsidRPr="00B038A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38A2">
        <w:rPr>
          <w:rFonts w:ascii="Trebuchet MS" w:hAnsi="Trebuchet MS"/>
          <w:sz w:val="20"/>
          <w:szCs w:val="20"/>
        </w:rPr>
        <w:t>Aldundia</w:t>
      </w:r>
      <w:proofErr w:type="spellEnd"/>
      <w:r w:rsidRPr="00B038A2">
        <w:rPr>
          <w:rFonts w:ascii="Trebuchet MS" w:hAnsi="Trebuchet MS"/>
          <w:sz w:val="20"/>
          <w:szCs w:val="20"/>
        </w:rPr>
        <w:t xml:space="preserve"> como Iberdrola son </w:t>
      </w:r>
      <w:proofErr w:type="gramStart"/>
      <w:r w:rsidRPr="00B038A2">
        <w:rPr>
          <w:rFonts w:ascii="Trebuchet MS" w:hAnsi="Trebuchet MS"/>
          <w:sz w:val="20"/>
          <w:szCs w:val="20"/>
        </w:rPr>
        <w:t>socios</w:t>
      </w:r>
      <w:proofErr w:type="gramEnd"/>
      <w:r w:rsidRPr="00B038A2">
        <w:rPr>
          <w:rFonts w:ascii="Trebuchet MS" w:hAnsi="Trebuchet MS"/>
          <w:sz w:val="20"/>
          <w:szCs w:val="20"/>
        </w:rPr>
        <w:t xml:space="preserve"> fundadores de la Asociación.</w:t>
      </w:r>
    </w:p>
    <w:p w:rsid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B038A2">
        <w:rPr>
          <w:rFonts w:ascii="Trebuchet MS" w:hAnsi="Trebuchet MS"/>
          <w:sz w:val="20"/>
          <w:szCs w:val="20"/>
        </w:rPr>
        <w:t xml:space="preserve">Por </w:t>
      </w:r>
      <w:r>
        <w:rPr>
          <w:rFonts w:ascii="Trebuchet MS" w:hAnsi="Trebuchet MS"/>
          <w:sz w:val="20"/>
          <w:szCs w:val="20"/>
        </w:rPr>
        <w:t>su parte</w:t>
      </w:r>
      <w:r w:rsidRPr="00B038A2">
        <w:rPr>
          <w:rFonts w:ascii="Trebuchet MS" w:hAnsi="Trebuchet MS"/>
          <w:sz w:val="20"/>
          <w:szCs w:val="20"/>
        </w:rPr>
        <w:t xml:space="preserve">, la Diputación Foral de </w:t>
      </w:r>
      <w:proofErr w:type="spellStart"/>
      <w:r w:rsidRPr="00B038A2">
        <w:rPr>
          <w:rFonts w:ascii="Trebuchet MS" w:hAnsi="Trebuchet MS"/>
          <w:sz w:val="20"/>
          <w:szCs w:val="20"/>
        </w:rPr>
        <w:t>Bizkaia</w:t>
      </w:r>
      <w:proofErr w:type="spellEnd"/>
      <w:r w:rsidRPr="00B038A2">
        <w:rPr>
          <w:rFonts w:ascii="Trebuchet MS" w:hAnsi="Trebuchet MS"/>
          <w:sz w:val="20"/>
          <w:szCs w:val="20"/>
        </w:rPr>
        <w:t xml:space="preserve"> / </w:t>
      </w:r>
      <w:proofErr w:type="spellStart"/>
      <w:r w:rsidRPr="00B038A2">
        <w:rPr>
          <w:rFonts w:ascii="Trebuchet MS" w:hAnsi="Trebuchet MS"/>
          <w:sz w:val="20"/>
          <w:szCs w:val="20"/>
        </w:rPr>
        <w:t>Bizkaiko</w:t>
      </w:r>
      <w:proofErr w:type="spellEnd"/>
      <w:r w:rsidRPr="00B038A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38A2">
        <w:rPr>
          <w:rFonts w:ascii="Trebuchet MS" w:hAnsi="Trebuchet MS"/>
          <w:sz w:val="20"/>
          <w:szCs w:val="20"/>
        </w:rPr>
        <w:t>Foru</w:t>
      </w:r>
      <w:proofErr w:type="spellEnd"/>
      <w:r w:rsidRPr="00B038A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038A2">
        <w:rPr>
          <w:rFonts w:ascii="Trebuchet MS" w:hAnsi="Trebuchet MS"/>
          <w:sz w:val="20"/>
          <w:szCs w:val="20"/>
        </w:rPr>
        <w:t>Aldundia</w:t>
      </w:r>
      <w:proofErr w:type="spellEnd"/>
      <w:r w:rsidRPr="00B038A2">
        <w:rPr>
          <w:rFonts w:ascii="Trebuchet MS" w:hAnsi="Trebuchet MS"/>
          <w:sz w:val="20"/>
          <w:szCs w:val="20"/>
        </w:rPr>
        <w:t xml:space="preserve"> (en adelante “DFB”) está impulsando en colaboración con Iberdrola un Centro de Excelencia en Redes Eléctricas en </w:t>
      </w:r>
      <w:proofErr w:type="spellStart"/>
      <w:r w:rsidRPr="00B038A2">
        <w:rPr>
          <w:rFonts w:ascii="Trebuchet MS" w:hAnsi="Trebuchet MS"/>
          <w:sz w:val="20"/>
          <w:szCs w:val="20"/>
        </w:rPr>
        <w:t>Bizkaia</w:t>
      </w:r>
      <w:proofErr w:type="spellEnd"/>
      <w:r w:rsidRPr="00B038A2">
        <w:rPr>
          <w:rFonts w:ascii="Trebuchet MS" w:hAnsi="Trebuchet MS"/>
          <w:sz w:val="20"/>
          <w:szCs w:val="20"/>
        </w:rPr>
        <w:t>. La iniciativa se enmarca dentro del esfuerzo que se está realizando por parte de la DFB para potenciar el desarrollo económico basado en la innovación y el emprendimiento, en este caso apalancándose y a su vez reforzando uno de los principales reclamos con</w:t>
      </w:r>
      <w:r>
        <w:rPr>
          <w:rFonts w:ascii="Trebuchet MS" w:hAnsi="Trebuchet MS"/>
          <w:sz w:val="20"/>
          <w:szCs w:val="20"/>
        </w:rPr>
        <w:t xml:space="preserve"> los que cuenta el T</w:t>
      </w:r>
      <w:r w:rsidRPr="00B038A2">
        <w:rPr>
          <w:rFonts w:ascii="Trebuchet MS" w:hAnsi="Trebuchet MS"/>
          <w:sz w:val="20"/>
          <w:szCs w:val="20"/>
        </w:rPr>
        <w:t>erritorio: la industria eléctrica.</w:t>
      </w:r>
    </w:p>
    <w:p w:rsidR="00B038A2" w:rsidRP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B038A2">
        <w:rPr>
          <w:rFonts w:ascii="Trebuchet MS" w:hAnsi="Trebuchet MS"/>
          <w:sz w:val="20"/>
          <w:szCs w:val="20"/>
        </w:rPr>
        <w:t xml:space="preserve">Se considera que el desarrollo de un Centro de Excelencia en redes Eléctricas puede ser un proyecto clave de cara a lograr los objetivos que comparten los agentes involucrados: crear empleo de calidad, atraer y fomentar el talento, reforzar la colaboración entre empresas </w:t>
      </w:r>
      <w:r w:rsidRPr="00B038A2">
        <w:rPr>
          <w:rFonts w:ascii="Trebuchet MS" w:hAnsi="Trebuchet MS"/>
          <w:sz w:val="20"/>
          <w:szCs w:val="20"/>
        </w:rPr>
        <w:lastRenderedPageBreak/>
        <w:t>locales, ganar competitividad a nivel internacional y potenciar el liderazgo a nivel internaci</w:t>
      </w:r>
      <w:r>
        <w:rPr>
          <w:rFonts w:ascii="Trebuchet MS" w:hAnsi="Trebuchet MS"/>
          <w:sz w:val="20"/>
          <w:szCs w:val="20"/>
        </w:rPr>
        <w:t>onal en la industria eléctrica.</w:t>
      </w:r>
    </w:p>
    <w:p w:rsid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038A2" w:rsidRP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B038A2">
        <w:rPr>
          <w:rFonts w:ascii="Trebuchet MS" w:hAnsi="Trebuchet MS"/>
          <w:sz w:val="20"/>
          <w:szCs w:val="20"/>
        </w:rPr>
        <w:t xml:space="preserve">Son a su vez objetivos compartidos por Iberdrola, quien será dueña y coordinadora de la actividad diaria del centro y quien se verá beneficiada de contar con una unidad dedicada a generar conocimiento y coordinar la actividad de varios agentes en la materia mencionada y que será necesario detallar.  </w:t>
      </w:r>
    </w:p>
    <w:p w:rsid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B038A2">
        <w:rPr>
          <w:rFonts w:ascii="Trebuchet MS" w:hAnsi="Trebuchet MS"/>
          <w:sz w:val="20"/>
          <w:szCs w:val="20"/>
        </w:rPr>
        <w:t xml:space="preserve">Con el fin de </w:t>
      </w:r>
      <w:r>
        <w:rPr>
          <w:rFonts w:ascii="Trebuchet MS" w:hAnsi="Trebuchet MS"/>
          <w:sz w:val="20"/>
          <w:szCs w:val="20"/>
        </w:rPr>
        <w:t>avanz</w:t>
      </w:r>
      <w:r w:rsidRPr="00B038A2">
        <w:rPr>
          <w:rFonts w:ascii="Trebuchet MS" w:hAnsi="Trebuchet MS"/>
          <w:sz w:val="20"/>
          <w:szCs w:val="20"/>
        </w:rPr>
        <w:t>ar en la definición de la iniciativa y desarrollar una propuesta concreta, BM-30 y DFB están interesadas en la contratación de un servicio de asistencia técnica consistente en la concreción de un modelo Centro de Excelencia, compatible y alineado con las necesidades de Iberdrola y su entorno, así como la definición de ambición, gobernanza y necesidades concretas a satisfacer.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B038A2" w:rsidRDefault="00B038A2" w:rsidP="00D01A7D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C06B82" w:rsidRDefault="00C06B82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AC2BA8" w:rsidRPr="00D832C3" w:rsidRDefault="00B038A2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3</w:t>
      </w:r>
      <w:r w:rsidR="00AC2BA8">
        <w:rPr>
          <w:rFonts w:ascii="Trebuchet MS" w:hAnsi="Trebuchet MS" w:cs="Arial"/>
          <w:sz w:val="20"/>
          <w:szCs w:val="20"/>
          <w:u w:val="single"/>
        </w:rPr>
        <w:t xml:space="preserve">. </w:t>
      </w:r>
      <w:r w:rsidR="00AC2BA8" w:rsidRPr="00D832C3">
        <w:rPr>
          <w:rFonts w:ascii="Trebuchet MS" w:hAnsi="Trebuchet MS" w:cs="Arial"/>
          <w:sz w:val="20"/>
          <w:szCs w:val="20"/>
          <w:u w:val="single"/>
        </w:rPr>
        <w:t>OBJETO DEL CONCURSO Y PRESTACIÓN DE SERVICIOS</w:t>
      </w:r>
    </w:p>
    <w:p w:rsidR="00AC2BA8" w:rsidRDefault="00B038A2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</w:rPr>
        <w:t>Por todo lo anterior, c</w:t>
      </w:r>
      <w:r w:rsidR="00AC2BA8"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onstituye el objeto del contrato la prestación de </w:t>
      </w:r>
      <w:r w:rsidRPr="00B038A2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un servicio de asistencia técnica para la definición del modelo </w:t>
      </w:r>
      <w:r>
        <w:rPr>
          <w:rStyle w:val="Textoennegrita"/>
          <w:rFonts w:ascii="Trebuchet MS" w:hAnsi="Trebuchet MS" w:cs="Arial"/>
          <w:b w:val="0"/>
          <w:sz w:val="20"/>
          <w:szCs w:val="20"/>
        </w:rPr>
        <w:t>de</w:t>
      </w:r>
      <w:r w:rsidRPr="00B038A2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un Centro de Excelencia en Redes Eléctricas</w:t>
      </w:r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en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Bizkaia</w:t>
      </w:r>
      <w:proofErr w:type="spellEnd"/>
      <w:r w:rsidRPr="00B038A2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, teniendo como base las necesidades de los principales actores involucrados (Diputación Foral de </w:t>
      </w:r>
      <w:proofErr w:type="spellStart"/>
      <w:r w:rsidRPr="00B038A2">
        <w:rPr>
          <w:rStyle w:val="Textoennegrita"/>
          <w:rFonts w:ascii="Trebuchet MS" w:hAnsi="Trebuchet MS" w:cs="Arial"/>
          <w:b w:val="0"/>
          <w:sz w:val="20"/>
          <w:szCs w:val="20"/>
        </w:rPr>
        <w:t>Bizkaia</w:t>
      </w:r>
      <w:proofErr w:type="spellEnd"/>
      <w:r w:rsidRPr="00B038A2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/ </w:t>
      </w:r>
      <w:proofErr w:type="spellStart"/>
      <w:r w:rsidRPr="00B038A2">
        <w:rPr>
          <w:rStyle w:val="Textoennegrita"/>
          <w:rFonts w:ascii="Trebuchet MS" w:hAnsi="Trebuchet MS" w:cs="Arial"/>
          <w:b w:val="0"/>
          <w:sz w:val="20"/>
          <w:szCs w:val="20"/>
        </w:rPr>
        <w:t>Bizkaiko</w:t>
      </w:r>
      <w:proofErr w:type="spellEnd"/>
      <w:r w:rsidRPr="00B038A2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Pr="00B038A2">
        <w:rPr>
          <w:rStyle w:val="Textoennegrita"/>
          <w:rFonts w:ascii="Trebuchet MS" w:hAnsi="Trebuchet MS" w:cs="Arial"/>
          <w:b w:val="0"/>
          <w:sz w:val="20"/>
          <w:szCs w:val="20"/>
        </w:rPr>
        <w:t>Foru</w:t>
      </w:r>
      <w:proofErr w:type="spellEnd"/>
      <w:r w:rsidRPr="00B038A2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Pr="00B038A2">
        <w:rPr>
          <w:rStyle w:val="Textoennegrita"/>
          <w:rFonts w:ascii="Trebuchet MS" w:hAnsi="Trebuchet MS" w:cs="Arial"/>
          <w:b w:val="0"/>
          <w:sz w:val="20"/>
          <w:szCs w:val="20"/>
        </w:rPr>
        <w:t>Aldundia</w:t>
      </w:r>
      <w:proofErr w:type="spellEnd"/>
      <w:r w:rsidRPr="00B038A2">
        <w:rPr>
          <w:rStyle w:val="Textoennegrita"/>
          <w:rFonts w:ascii="Trebuchet MS" w:hAnsi="Trebuchet MS" w:cs="Arial"/>
          <w:b w:val="0"/>
          <w:sz w:val="20"/>
          <w:szCs w:val="20"/>
        </w:rPr>
        <w:t>, Iberdrola y la Asociación para la Revitalización del Bilbao Metropolitano).</w:t>
      </w:r>
      <w:r w:rsidR="00A3282F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</w:p>
    <w:p w:rsidR="00AC2BA8" w:rsidRPr="00AC2BA8" w:rsidRDefault="00AC2BA8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AC2BA8" w:rsidRDefault="00AC2BA8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</w:pPr>
    </w:p>
    <w:p w:rsidR="00C06B82" w:rsidRPr="003137DE" w:rsidRDefault="00B038A2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4</w:t>
      </w:r>
      <w:r w:rsidR="003137DE" w:rsidRPr="003137DE"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. OBJETIVOS DEL PROYECTO</w:t>
      </w:r>
    </w:p>
    <w:p w:rsidR="003137DE" w:rsidRDefault="003137DE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P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</w:rPr>
        <w:t>E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l trabajo a realizar constará de tres apartados:</w:t>
      </w:r>
    </w:p>
    <w:p w:rsidR="002319B0" w:rsidRPr="002319B0" w:rsidRDefault="002319B0" w:rsidP="00D01A7D">
      <w:pPr>
        <w:spacing w:line="276" w:lineRule="auto"/>
        <w:ind w:left="709" w:hanging="709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 xml:space="preserve">En primer lugar, ayudar a la DFB, a BM-30 y a Iberdrola a concretar la ambición y objetivos que tienen para el centro, así como </w:t>
      </w:r>
      <w:r>
        <w:rPr>
          <w:rStyle w:val="Textoennegrita"/>
          <w:rFonts w:ascii="Trebuchet MS" w:hAnsi="Trebuchet MS" w:cs="Arial"/>
          <w:b w:val="0"/>
          <w:sz w:val="20"/>
          <w:szCs w:val="20"/>
        </w:rPr>
        <w:t>a l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a definición de la gobernanza y del modelo de relación entre los principales agentes involucrados.</w:t>
      </w:r>
    </w:p>
    <w:p w:rsidR="002319B0" w:rsidRPr="002319B0" w:rsidRDefault="002319B0" w:rsidP="00D01A7D">
      <w:pPr>
        <w:spacing w:line="276" w:lineRule="auto"/>
        <w:ind w:left="709" w:hanging="709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El segundo lugar, la definición de las necesidades a satisfacer por el centro, tanto para Iberdrola como para otros agentes potencialmente involucrados.</w:t>
      </w:r>
    </w:p>
    <w:p w:rsidR="002319B0" w:rsidRPr="002319B0" w:rsidRDefault="002319B0" w:rsidP="00D01A7D">
      <w:pPr>
        <w:spacing w:line="276" w:lineRule="auto"/>
        <w:ind w:left="709" w:hanging="709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En tercer lugar, proponer los pilares fundamentales del centro, en correspondencia con la ambición y a las necesidades identificadas: organización y actividades.</w:t>
      </w: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Pr="003137DE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5</w:t>
      </w:r>
      <w:r w:rsidRPr="003137DE"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. ALCANCE DE LOS SERVICIOS</w:t>
      </w:r>
    </w:p>
    <w:p w:rsidR="002319B0" w:rsidRP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P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Tomando como base los objetivos anteriormente mencionados, el alcance del trabajo a realizar será el siguiente: </w:t>
      </w:r>
    </w:p>
    <w:p w:rsidR="002319B0" w:rsidRPr="002319B0" w:rsidRDefault="002319B0" w:rsidP="00D01A7D">
      <w:pPr>
        <w:spacing w:line="276" w:lineRule="auto"/>
        <w:ind w:left="709" w:hanging="709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1.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Desarrollar a</w:t>
      </w:r>
      <w:r>
        <w:rPr>
          <w:rStyle w:val="Textoennegrita"/>
          <w:rFonts w:ascii="Trebuchet MS" w:hAnsi="Trebuchet MS" w:cs="Arial"/>
          <w:b w:val="0"/>
          <w:sz w:val="20"/>
          <w:szCs w:val="20"/>
        </w:rPr>
        <w:t>ctividades de reflexión, ayudadas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por </w:t>
      </w:r>
      <w:proofErr w:type="spellStart"/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workshops</w:t>
      </w:r>
      <w:proofErr w:type="spellEnd"/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o preparación de materiales de discusión, con el objetivo de concretar con Iberdrola la ambición y los principales objetivos para el Centro de Excelencia, facilitando el consenso en materia de gobernanza y funcionamiento general del centro. Entre los principales requerimientos están:</w:t>
      </w:r>
    </w:p>
    <w:p w:rsidR="002319B0" w:rsidRPr="002319B0" w:rsidRDefault="002319B0" w:rsidP="00D01A7D">
      <w:pPr>
        <w:spacing w:line="276" w:lineRule="auto"/>
        <w:ind w:left="1276" w:hanging="567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La preparación de material de discusión y desarrollo de sesiones de trabajo con responsables de los agentes involucrados para concretar la ambición del proyecto y definir los principales objetivos</w:t>
      </w:r>
    </w:p>
    <w:p w:rsidR="002319B0" w:rsidRPr="002319B0" w:rsidRDefault="002319B0" w:rsidP="00D01A7D">
      <w:pPr>
        <w:spacing w:line="276" w:lineRule="auto"/>
        <w:ind w:left="1276" w:hanging="567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El análisis, valoración y presentación de diferentes alternativas de gobernanza y propuesta de valor para el Centro de Excelencia</w:t>
      </w:r>
    </w:p>
    <w:p w:rsidR="002319B0" w:rsidRP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Pr="002319B0" w:rsidRDefault="002319B0" w:rsidP="00D01A7D">
      <w:pPr>
        <w:spacing w:line="276" w:lineRule="auto"/>
        <w:ind w:left="709" w:hanging="709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2.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Identificar y definir las necesidades a satisfacer por el centro, tanto internas de Iberdrola como a nivel del entorno local y, más a alto nivel, global. Los principales requerimientos que incluye este bloque son:</w:t>
      </w:r>
    </w:p>
    <w:p w:rsidR="002319B0" w:rsidRPr="002319B0" w:rsidRDefault="002319B0" w:rsidP="00D01A7D">
      <w:pPr>
        <w:spacing w:line="276" w:lineRule="auto"/>
        <w:ind w:left="1276" w:hanging="567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El desarrollo de reuniones de presentación y contraste con las diferentes partes involucradas con el objetivo de identificar las necesidades a satisfacer de cada una de ellas. Como partes involucradas estarán, principalmente, las áreas de negocio y corporativas de Iberdrola, y más en segundo plano, otras empresas del sector y entorno</w:t>
      </w:r>
    </w:p>
    <w:p w:rsidR="002319B0" w:rsidRPr="002319B0" w:rsidRDefault="002319B0" w:rsidP="00D01A7D">
      <w:pPr>
        <w:spacing w:line="276" w:lineRule="auto"/>
        <w:ind w:left="1276" w:hanging="567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La definición, acordada con Iberdrola, de las actividades a desarrollar por el centro</w:t>
      </w:r>
    </w:p>
    <w:p w:rsidR="002319B0" w:rsidRP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Pr="002319B0" w:rsidRDefault="002319B0" w:rsidP="00D01A7D">
      <w:pPr>
        <w:spacing w:line="276" w:lineRule="auto"/>
        <w:ind w:left="709" w:hanging="709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3.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Concretar, contrastar y acordar la visión del Centro de Excelencia en base a lo identificado y acordado anteriormente. Los contenidos a desarrollar son los siguientes:</w:t>
      </w:r>
    </w:p>
    <w:p w:rsidR="002319B0" w:rsidRPr="002319B0" w:rsidRDefault="002319B0" w:rsidP="00D01A7D">
      <w:pPr>
        <w:spacing w:line="276" w:lineRule="auto"/>
        <w:ind w:left="1276" w:hanging="567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Tipología: orientado a proyectos, a servicios, funcional vs técnico, etc.</w:t>
      </w:r>
    </w:p>
    <w:p w:rsidR="002319B0" w:rsidRPr="002319B0" w:rsidRDefault="002319B0" w:rsidP="00D01A7D">
      <w:pPr>
        <w:spacing w:line="276" w:lineRule="auto"/>
        <w:ind w:left="1276" w:hanging="567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 xml:space="preserve">Rol: Generador de conocimiento propio, </w:t>
      </w:r>
      <w:proofErr w:type="spellStart"/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agregador</w:t>
      </w:r>
      <w:proofErr w:type="spellEnd"/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de capacidades del entorno, etc.</w:t>
      </w:r>
    </w:p>
    <w:p w:rsidR="002319B0" w:rsidRPr="002319B0" w:rsidRDefault="002319B0" w:rsidP="00D01A7D">
      <w:pPr>
        <w:spacing w:line="276" w:lineRule="auto"/>
        <w:ind w:left="1276" w:hanging="567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Actividades: áreas de actividad y líneas de servicio</w:t>
      </w:r>
    </w:p>
    <w:p w:rsidR="002319B0" w:rsidRPr="002319B0" w:rsidRDefault="002319B0" w:rsidP="00D01A7D">
      <w:pPr>
        <w:spacing w:line="276" w:lineRule="auto"/>
        <w:ind w:left="1276" w:hanging="567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Encaje organizativo</w:t>
      </w:r>
    </w:p>
    <w:p w:rsidR="002319B0" w:rsidRPr="002319B0" w:rsidRDefault="002319B0" w:rsidP="00D01A7D">
      <w:pPr>
        <w:spacing w:line="276" w:lineRule="auto"/>
        <w:ind w:left="1276" w:hanging="567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•</w:t>
      </w: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ab/>
        <w:t>Beneficios</w:t>
      </w:r>
    </w:p>
    <w:p w:rsidR="002319B0" w:rsidRP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2319B0">
        <w:rPr>
          <w:rStyle w:val="Textoennegrita"/>
          <w:rFonts w:ascii="Trebuchet MS" w:hAnsi="Trebuchet MS" w:cs="Arial"/>
          <w:b w:val="0"/>
          <w:sz w:val="20"/>
          <w:szCs w:val="20"/>
        </w:rPr>
        <w:t>En definitiva, el trabajo realizado tiene que permitir a DFB, BM-30 e Iberdrola concretar la visión general de lo que se quiere lograr y sentar las bases del proyecto para poder avanzar hacia aspectos más concretos que permitan hacerlo realidad.</w:t>
      </w: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95502A" w:rsidRPr="003137DE" w:rsidRDefault="002319B0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6</w:t>
      </w:r>
      <w:r w:rsidR="003137DE" w:rsidRPr="003137DE">
        <w:rPr>
          <w:rFonts w:ascii="Trebuchet MS" w:hAnsi="Trebuchet MS" w:cs="Arial"/>
          <w:sz w:val="20"/>
          <w:szCs w:val="20"/>
          <w:u w:val="single"/>
        </w:rPr>
        <w:t>. OFERTA A REALIZAR</w:t>
      </w:r>
    </w:p>
    <w:p w:rsidR="00AC2BA8" w:rsidRDefault="002319B0" w:rsidP="00D01A7D">
      <w:pPr>
        <w:spacing w:line="276" w:lineRule="auto"/>
        <w:jc w:val="both"/>
        <w:rPr>
          <w:rFonts w:ascii="Trebuchet MS" w:eastAsia="Lucida Sans Unicode" w:hAnsi="Trebuchet MS" w:cs="Arial"/>
          <w:kern w:val="1"/>
          <w:sz w:val="20"/>
          <w:szCs w:val="20"/>
          <w:lang w:eastAsia="ar-SA"/>
        </w:rPr>
      </w:pPr>
      <w:r w:rsidRPr="002319B0">
        <w:rPr>
          <w:rFonts w:ascii="Trebuchet MS" w:eastAsia="Lucida Sans Unicode" w:hAnsi="Trebuchet MS" w:cs="Arial"/>
          <w:kern w:val="1"/>
          <w:sz w:val="20"/>
          <w:szCs w:val="20"/>
          <w:lang w:eastAsia="ar-SA"/>
        </w:rPr>
        <w:t>El proyecto se resumirá en un documento final en el que se recogerán las conclusiones que se deriven del</w:t>
      </w:r>
      <w:r>
        <w:rPr>
          <w:rFonts w:ascii="Trebuchet MS" w:eastAsia="Lucida Sans Unicode" w:hAnsi="Trebuchet MS" w:cs="Arial"/>
          <w:kern w:val="1"/>
          <w:sz w:val="20"/>
          <w:szCs w:val="20"/>
          <w:lang w:eastAsia="ar-SA"/>
        </w:rPr>
        <w:t xml:space="preserve"> alcance anteriormente citado. A</w:t>
      </w:r>
      <w:r w:rsidRPr="002319B0">
        <w:rPr>
          <w:rFonts w:ascii="Trebuchet MS" w:eastAsia="Lucida Sans Unicode" w:hAnsi="Trebuchet MS" w:cs="Arial"/>
          <w:kern w:val="1"/>
          <w:sz w:val="20"/>
          <w:szCs w:val="20"/>
          <w:lang w:eastAsia="ar-SA"/>
        </w:rPr>
        <w:t>l finalizar el proyecto</w:t>
      </w:r>
      <w:r>
        <w:rPr>
          <w:rFonts w:ascii="Trebuchet MS" w:eastAsia="Lucida Sans Unicode" w:hAnsi="Trebuchet MS" w:cs="Arial"/>
          <w:kern w:val="1"/>
          <w:sz w:val="20"/>
          <w:szCs w:val="20"/>
          <w:lang w:eastAsia="ar-SA"/>
        </w:rPr>
        <w:t>, se celebrará</w:t>
      </w:r>
      <w:r w:rsidRPr="002319B0">
        <w:rPr>
          <w:rFonts w:ascii="Trebuchet MS" w:eastAsia="Lucida Sans Unicode" w:hAnsi="Trebuchet MS" w:cs="Arial"/>
          <w:kern w:val="1"/>
          <w:sz w:val="20"/>
          <w:szCs w:val="20"/>
          <w:lang w:eastAsia="ar-SA"/>
        </w:rPr>
        <w:t xml:space="preserve"> una reunión </w:t>
      </w:r>
      <w:r>
        <w:rPr>
          <w:rFonts w:ascii="Trebuchet MS" w:eastAsia="Lucida Sans Unicode" w:hAnsi="Trebuchet MS" w:cs="Arial"/>
          <w:kern w:val="1"/>
          <w:sz w:val="20"/>
          <w:szCs w:val="20"/>
          <w:lang w:eastAsia="ar-SA"/>
        </w:rPr>
        <w:t>con lo</w:t>
      </w:r>
      <w:r w:rsidRPr="002319B0">
        <w:rPr>
          <w:rFonts w:ascii="Trebuchet MS" w:eastAsia="Lucida Sans Unicode" w:hAnsi="Trebuchet MS" w:cs="Arial"/>
          <w:kern w:val="1"/>
          <w:sz w:val="20"/>
          <w:szCs w:val="20"/>
          <w:lang w:eastAsia="ar-SA"/>
        </w:rPr>
        <w:t>s agentes involucrados para presentar las conclusiones y acordar los próximos pasos y, en caso de ser necesario, revisar y/o proponer modificaciones al trabajo realizado.</w:t>
      </w: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AC2BA8" w:rsidRPr="003137DE" w:rsidRDefault="002319B0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7</w:t>
      </w:r>
      <w:r w:rsidR="00AC2BA8" w:rsidRPr="003137DE">
        <w:rPr>
          <w:rFonts w:ascii="Trebuchet MS" w:hAnsi="Trebuchet MS" w:cs="Arial"/>
          <w:sz w:val="20"/>
          <w:szCs w:val="20"/>
          <w:u w:val="single"/>
        </w:rPr>
        <w:t xml:space="preserve">. </w:t>
      </w:r>
      <w:r w:rsidR="00AC2BA8">
        <w:rPr>
          <w:rFonts w:ascii="Trebuchet MS" w:hAnsi="Trebuchet MS" w:cs="Arial"/>
          <w:sz w:val="20"/>
          <w:szCs w:val="20"/>
          <w:u w:val="single"/>
        </w:rPr>
        <w:t>OTRAS CONSIDERACIONES</w:t>
      </w:r>
    </w:p>
    <w:p w:rsidR="00AC2BA8" w:rsidRDefault="00AC2BA8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No se contemplan.</w:t>
      </w: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bookmarkStart w:id="0" w:name="_GoBack"/>
      <w:bookmarkEnd w:id="0"/>
    </w:p>
    <w:p w:rsidR="00D832C3" w:rsidRPr="00AC2BA8" w:rsidRDefault="002319B0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8</w:t>
      </w:r>
      <w:r w:rsidR="00AC2BA8">
        <w:rPr>
          <w:rFonts w:ascii="Trebuchet MS" w:hAnsi="Trebuchet MS" w:cs="Arial"/>
          <w:sz w:val="20"/>
          <w:szCs w:val="20"/>
          <w:u w:val="single"/>
        </w:rPr>
        <w:t xml:space="preserve">. </w:t>
      </w:r>
      <w:r w:rsidR="00D832C3" w:rsidRPr="00AC2BA8">
        <w:rPr>
          <w:rFonts w:ascii="Trebuchet MS" w:hAnsi="Trebuchet MS" w:cs="Arial"/>
          <w:sz w:val="20"/>
          <w:szCs w:val="20"/>
          <w:u w:val="single"/>
        </w:rPr>
        <w:t>SUPERVISIÓN Y CONTROL</w:t>
      </w:r>
    </w:p>
    <w:p w:rsidR="00E63CB2" w:rsidRPr="00FB79F0" w:rsidRDefault="00E63CB2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>Incumbe a Bilbao Metropoli-30, ejercer de una manera continuada y directa la inspección y vigilancia y supervisión de los trabajos para velar por su correcta ejecución, pudiendo hacer al contratista observaciones y comentarios respecto a la ejecución de los servicios. A este fin, el adjudicatario deberá permitir el examen de cualquier proceso o fase del trabajo. El adjudicatario deberá fijar, de mutuo acuerdo con Bilbao Metropoli-30, un calendario de reuniones de seguimiento.</w:t>
      </w:r>
    </w:p>
    <w:p w:rsidR="00E63CB2" w:rsidRPr="00FB79F0" w:rsidRDefault="00E63CB2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 xml:space="preserve">La dirección de los trabajos será ejercida por un representante de Bilbao Metropoli-30, que actuará de coordinador y supervisor. </w:t>
      </w:r>
      <w:r w:rsidR="00500EF8" w:rsidRPr="00FB79F0">
        <w:rPr>
          <w:rFonts w:ascii="Trebuchet MS" w:hAnsi="Trebuchet MS" w:cs="Arial"/>
          <w:sz w:val="20"/>
          <w:szCs w:val="20"/>
        </w:rPr>
        <w:t>Asimismo,</w:t>
      </w:r>
      <w:r w:rsidRPr="00FB79F0">
        <w:rPr>
          <w:rFonts w:ascii="Trebuchet MS" w:hAnsi="Trebuchet MS" w:cs="Arial"/>
          <w:sz w:val="20"/>
          <w:szCs w:val="20"/>
        </w:rPr>
        <w:t xml:space="preserve"> todo cambio o modificación sobre la propuesta adjudicada, deberá contar con el acuerdo de Bilbao Metropoli-30 que en todo momento podrá indicar variaciones en las directrices del trabajo.</w:t>
      </w: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D832C3" w:rsidRPr="00AC2BA8" w:rsidRDefault="004A1215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10</w:t>
      </w:r>
      <w:r w:rsidR="00AC2BA8">
        <w:rPr>
          <w:rFonts w:ascii="Trebuchet MS" w:hAnsi="Trebuchet MS" w:cs="Arial"/>
          <w:sz w:val="20"/>
          <w:szCs w:val="20"/>
          <w:u w:val="single"/>
        </w:rPr>
        <w:t xml:space="preserve">. </w:t>
      </w:r>
      <w:r w:rsidR="00D832C3" w:rsidRPr="00AC2BA8">
        <w:rPr>
          <w:rFonts w:ascii="Trebuchet MS" w:hAnsi="Trebuchet MS" w:cs="Arial"/>
          <w:sz w:val="20"/>
          <w:szCs w:val="20"/>
          <w:u w:val="single"/>
        </w:rPr>
        <w:t>CONFIDENCIALIDAD Y PROPIEDAD DEL TRABAJO</w:t>
      </w:r>
    </w:p>
    <w:p w:rsidR="00E63CB2" w:rsidRPr="00FB79F0" w:rsidRDefault="00E63CB2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 xml:space="preserve">Los trabajos y todos los datos en ellos contemplados, así como los que de ellos resulten, son propiedad exclusiva de </w:t>
      </w:r>
      <w:r w:rsidR="002319B0">
        <w:rPr>
          <w:rFonts w:ascii="Trebuchet MS" w:hAnsi="Trebuchet MS" w:cs="Arial"/>
          <w:sz w:val="20"/>
          <w:szCs w:val="20"/>
        </w:rPr>
        <w:t xml:space="preserve">los agentes involucrados en el contrato, </w:t>
      </w:r>
      <w:r w:rsidRPr="00FB79F0">
        <w:rPr>
          <w:rFonts w:ascii="Trebuchet MS" w:hAnsi="Trebuchet MS" w:cs="Arial"/>
          <w:sz w:val="20"/>
          <w:szCs w:val="20"/>
        </w:rPr>
        <w:t>Bilbao Metropoli-30</w:t>
      </w:r>
      <w:r w:rsidR="002319B0">
        <w:rPr>
          <w:rFonts w:ascii="Trebuchet MS" w:hAnsi="Trebuchet MS" w:cs="Arial"/>
          <w:sz w:val="20"/>
          <w:szCs w:val="20"/>
        </w:rPr>
        <w:t>, DFB e Iberdrola</w:t>
      </w:r>
      <w:r w:rsidRPr="00FB79F0">
        <w:rPr>
          <w:rFonts w:ascii="Trebuchet MS" w:hAnsi="Trebuchet MS" w:cs="Arial"/>
          <w:sz w:val="20"/>
          <w:szCs w:val="20"/>
        </w:rPr>
        <w:t>.</w:t>
      </w:r>
    </w:p>
    <w:p w:rsidR="00E63CB2" w:rsidRPr="00FB79F0" w:rsidRDefault="00E63CB2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 xml:space="preserve">Del mismo modo, contarán con carácter confidencial, y no podrán ser publicados, ni en todo ni en parte, o utilizados de cualquier </w:t>
      </w:r>
      <w:r w:rsidR="00457AB0">
        <w:rPr>
          <w:rFonts w:ascii="Trebuchet MS" w:hAnsi="Trebuchet MS" w:cs="Arial"/>
          <w:sz w:val="20"/>
          <w:szCs w:val="20"/>
        </w:rPr>
        <w:t>otro</w:t>
      </w:r>
      <w:r w:rsidR="00FB79F0" w:rsidRPr="00FB79F0">
        <w:rPr>
          <w:rFonts w:ascii="Trebuchet MS" w:hAnsi="Trebuchet MS" w:cs="Arial"/>
          <w:sz w:val="20"/>
          <w:szCs w:val="20"/>
        </w:rPr>
        <w:t xml:space="preserve"> modo sin la expresa y previa autorización escrita de Bilbao Metropoli-30.</w:t>
      </w:r>
    </w:p>
    <w:p w:rsidR="00FB79F0" w:rsidRPr="00FB79F0" w:rsidRDefault="00FB79F0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>En ningún momento, el adjudicatario podrá hacer declaraciones públicas sobre los proyectos, sin la expresa y previa autorización de Bilbao Metropoli-30.</w:t>
      </w: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Default="002319B0" w:rsidP="00D01A7D">
      <w:pPr>
        <w:spacing w:line="276" w:lineRule="auto"/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319B0" w:rsidRPr="00FB79F0" w:rsidRDefault="002319B0" w:rsidP="00D01A7D">
      <w:pPr>
        <w:pStyle w:val="Textoindependiente"/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sectPr w:rsidR="002319B0" w:rsidRPr="00FB79F0" w:rsidSect="00B132D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27" w:right="1701" w:bottom="89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33" w:rsidRDefault="00EA5C33">
      <w:r>
        <w:separator/>
      </w:r>
    </w:p>
  </w:endnote>
  <w:endnote w:type="continuationSeparator" w:id="0">
    <w:p w:rsidR="00EA5C33" w:rsidRDefault="00EA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26403987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132D7" w:rsidRDefault="00B132D7" w:rsidP="00B132D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B132D7" w:rsidRDefault="00B132D7" w:rsidP="00B132D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2460713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132D7" w:rsidRDefault="00B132D7" w:rsidP="00B132D7">
        <w:pPr>
          <w:pStyle w:val="Piedepgina"/>
          <w:framePr w:wrap="none" w:vAnchor="text" w:hAnchor="margin" w:xAlign="right" w:y="1"/>
          <w:rPr>
            <w:rStyle w:val="Nmerodepgina"/>
          </w:rPr>
        </w:pPr>
        <w:r w:rsidRPr="00B132D7">
          <w:rPr>
            <w:rStyle w:val="Nmerodepgina"/>
            <w:rFonts w:ascii="Trebuchet MS" w:hAnsi="Trebuchet MS"/>
            <w:sz w:val="18"/>
          </w:rPr>
          <w:fldChar w:fldCharType="begin"/>
        </w:r>
        <w:r w:rsidRPr="00B132D7">
          <w:rPr>
            <w:rStyle w:val="Nmerodepgina"/>
            <w:rFonts w:ascii="Trebuchet MS" w:hAnsi="Trebuchet MS"/>
            <w:sz w:val="18"/>
          </w:rPr>
          <w:instrText xml:space="preserve"> PAGE </w:instrText>
        </w:r>
        <w:r w:rsidRPr="00B132D7">
          <w:rPr>
            <w:rStyle w:val="Nmerodepgina"/>
            <w:rFonts w:ascii="Trebuchet MS" w:hAnsi="Trebuchet MS"/>
            <w:sz w:val="18"/>
          </w:rPr>
          <w:fldChar w:fldCharType="separate"/>
        </w:r>
        <w:r w:rsidR="00D01A7D">
          <w:rPr>
            <w:rStyle w:val="Nmerodepgina"/>
            <w:rFonts w:ascii="Trebuchet MS" w:hAnsi="Trebuchet MS"/>
            <w:noProof/>
            <w:sz w:val="18"/>
          </w:rPr>
          <w:t>4</w:t>
        </w:r>
        <w:r w:rsidRPr="00B132D7">
          <w:rPr>
            <w:rStyle w:val="Nmerodepgina"/>
            <w:rFonts w:ascii="Trebuchet MS" w:hAnsi="Trebuchet MS"/>
            <w:sz w:val="18"/>
          </w:rPr>
          <w:fldChar w:fldCharType="end"/>
        </w:r>
      </w:p>
    </w:sdtContent>
  </w:sdt>
  <w:p w:rsidR="00B132D7" w:rsidRDefault="00B132D7" w:rsidP="00B132D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33" w:rsidRDefault="00EA5C33">
      <w:r>
        <w:separator/>
      </w:r>
    </w:p>
  </w:footnote>
  <w:footnote w:type="continuationSeparator" w:id="0">
    <w:p w:rsidR="00EA5C33" w:rsidRDefault="00EA5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ED" w:rsidRDefault="00457AB0" w:rsidP="00231A8A">
    <w:pPr>
      <w:pStyle w:val="Encabezado"/>
      <w:tabs>
        <w:tab w:val="clear" w:pos="4252"/>
      </w:tabs>
    </w:pPr>
    <w:r>
      <w:rPr>
        <w:noProof/>
        <w:lang w:eastAsia="es-ES"/>
      </w:rPr>
      <w:drawing>
        <wp:inline distT="0" distB="0" distL="0" distR="0">
          <wp:extent cx="1184275" cy="914400"/>
          <wp:effectExtent l="0" t="0" r="0" b="0"/>
          <wp:docPr id="5" name="Imagen 5" descr="bm30as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30aso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3ED">
      <w:tab/>
    </w:r>
  </w:p>
  <w:p w:rsidR="00EA53ED" w:rsidRDefault="00EA53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E5" w:rsidRDefault="00457AB0">
    <w:pPr>
      <w:pStyle w:val="Encabezado"/>
    </w:pPr>
    <w:r>
      <w:rPr>
        <w:rFonts w:ascii="Cambria" w:hAnsi="Cambria"/>
        <w:noProof/>
        <w:sz w:val="72"/>
        <w:szCs w:val="72"/>
        <w:lang w:eastAsia="es-ES"/>
      </w:rPr>
      <w:drawing>
        <wp:inline distT="0" distB="0" distL="0" distR="0">
          <wp:extent cx="1011555" cy="786765"/>
          <wp:effectExtent l="0" t="0" r="0" b="0"/>
          <wp:docPr id="6" name="Imagen 6" descr="bm30as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30aso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AB0"/>
    <w:multiLevelType w:val="hybridMultilevel"/>
    <w:tmpl w:val="8368A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7DEE"/>
    <w:multiLevelType w:val="hybridMultilevel"/>
    <w:tmpl w:val="DF822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C4A"/>
    <w:multiLevelType w:val="hybridMultilevel"/>
    <w:tmpl w:val="E110DA6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BF18F5"/>
    <w:multiLevelType w:val="hybridMultilevel"/>
    <w:tmpl w:val="C7BE6CBE"/>
    <w:lvl w:ilvl="0" w:tplc="021A02B2">
      <w:start w:val="5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06282"/>
    <w:multiLevelType w:val="hybridMultilevel"/>
    <w:tmpl w:val="CCF21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30CB"/>
    <w:multiLevelType w:val="hybridMultilevel"/>
    <w:tmpl w:val="E20801A0"/>
    <w:lvl w:ilvl="0" w:tplc="E4CE73D2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D0D29"/>
    <w:multiLevelType w:val="hybridMultilevel"/>
    <w:tmpl w:val="E7E0FCAA"/>
    <w:lvl w:ilvl="0" w:tplc="472275F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6D16"/>
    <w:multiLevelType w:val="hybridMultilevel"/>
    <w:tmpl w:val="5FCA3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71863"/>
    <w:multiLevelType w:val="hybridMultilevel"/>
    <w:tmpl w:val="EAFC5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7291E"/>
    <w:multiLevelType w:val="hybridMultilevel"/>
    <w:tmpl w:val="F4CCB66E"/>
    <w:lvl w:ilvl="0" w:tplc="96DA9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33731"/>
    <w:multiLevelType w:val="hybridMultilevel"/>
    <w:tmpl w:val="44B8CE22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BD04DFA"/>
    <w:multiLevelType w:val="hybridMultilevel"/>
    <w:tmpl w:val="9828AF96"/>
    <w:lvl w:ilvl="0" w:tplc="D82A5D9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10A72"/>
    <w:multiLevelType w:val="hybridMultilevel"/>
    <w:tmpl w:val="E8B88674"/>
    <w:lvl w:ilvl="0" w:tplc="C1BA73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A49C8"/>
    <w:multiLevelType w:val="hybridMultilevel"/>
    <w:tmpl w:val="C4B86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9539D"/>
    <w:multiLevelType w:val="hybridMultilevel"/>
    <w:tmpl w:val="27B6BCE6"/>
    <w:lvl w:ilvl="0" w:tplc="70B65FD2">
      <w:start w:val="1"/>
      <w:numFmt w:val="decimal"/>
      <w:lvlText w:val="%1."/>
      <w:lvlJc w:val="left"/>
      <w:pPr>
        <w:ind w:left="644" w:hanging="360"/>
      </w:pPr>
      <w:rPr>
        <w:rFonts w:ascii="Century Gothic" w:eastAsia="MS Mincho" w:hAnsi="Century Gothic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229B6"/>
    <w:multiLevelType w:val="hybridMultilevel"/>
    <w:tmpl w:val="FD78AFBA"/>
    <w:lvl w:ilvl="0" w:tplc="62BC27E6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9712A"/>
    <w:multiLevelType w:val="hybridMultilevel"/>
    <w:tmpl w:val="6C149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73DCC"/>
    <w:multiLevelType w:val="hybridMultilevel"/>
    <w:tmpl w:val="2C40FBB8"/>
    <w:lvl w:ilvl="0" w:tplc="569AA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25846"/>
    <w:multiLevelType w:val="hybridMultilevel"/>
    <w:tmpl w:val="C0F27760"/>
    <w:lvl w:ilvl="0" w:tplc="2F3EDB40">
      <w:start w:val="3"/>
      <w:numFmt w:val="bullet"/>
      <w:lvlText w:val="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B39A9"/>
    <w:multiLevelType w:val="hybridMultilevel"/>
    <w:tmpl w:val="855EF4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468F4"/>
    <w:multiLevelType w:val="hybridMultilevel"/>
    <w:tmpl w:val="36F6C530"/>
    <w:lvl w:ilvl="0" w:tplc="62BC27E6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E1895"/>
    <w:multiLevelType w:val="hybridMultilevel"/>
    <w:tmpl w:val="A922E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D3192"/>
    <w:multiLevelType w:val="hybridMultilevel"/>
    <w:tmpl w:val="EB48DC4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9"/>
  </w:num>
  <w:num w:numId="5">
    <w:abstractNumId w:val="17"/>
  </w:num>
  <w:num w:numId="6">
    <w:abstractNumId w:val="22"/>
  </w:num>
  <w:num w:numId="7">
    <w:abstractNumId w:val="7"/>
  </w:num>
  <w:num w:numId="8">
    <w:abstractNumId w:val="18"/>
  </w:num>
  <w:num w:numId="9">
    <w:abstractNumId w:val="15"/>
  </w:num>
  <w:num w:numId="10">
    <w:abstractNumId w:val="4"/>
  </w:num>
  <w:num w:numId="11">
    <w:abstractNumId w:val="16"/>
  </w:num>
  <w:num w:numId="12">
    <w:abstractNumId w:val="20"/>
  </w:num>
  <w:num w:numId="13">
    <w:abstractNumId w:val="19"/>
  </w:num>
  <w:num w:numId="14">
    <w:abstractNumId w:val="10"/>
  </w:num>
  <w:num w:numId="15">
    <w:abstractNumId w:val="21"/>
  </w:num>
  <w:num w:numId="16">
    <w:abstractNumId w:val="0"/>
  </w:num>
  <w:num w:numId="17">
    <w:abstractNumId w:val="2"/>
  </w:num>
  <w:num w:numId="18">
    <w:abstractNumId w:val="1"/>
  </w:num>
  <w:num w:numId="19">
    <w:abstractNumId w:val="6"/>
  </w:num>
  <w:num w:numId="20">
    <w:abstractNumId w:val="11"/>
  </w:num>
  <w:num w:numId="21">
    <w:abstractNumId w:val="5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9"/>
    <w:rsid w:val="00025212"/>
    <w:rsid w:val="00032524"/>
    <w:rsid w:val="00034A2F"/>
    <w:rsid w:val="00053654"/>
    <w:rsid w:val="00060E1D"/>
    <w:rsid w:val="00072C58"/>
    <w:rsid w:val="00082C18"/>
    <w:rsid w:val="00083815"/>
    <w:rsid w:val="00085F81"/>
    <w:rsid w:val="000903DB"/>
    <w:rsid w:val="000B0F2F"/>
    <w:rsid w:val="000D3231"/>
    <w:rsid w:val="00102D61"/>
    <w:rsid w:val="00116F89"/>
    <w:rsid w:val="00123BFC"/>
    <w:rsid w:val="0015135A"/>
    <w:rsid w:val="00160DFE"/>
    <w:rsid w:val="00162AAF"/>
    <w:rsid w:val="00164573"/>
    <w:rsid w:val="00174208"/>
    <w:rsid w:val="00180474"/>
    <w:rsid w:val="00196FAA"/>
    <w:rsid w:val="001D2230"/>
    <w:rsid w:val="001E43AB"/>
    <w:rsid w:val="002174AC"/>
    <w:rsid w:val="00225EC1"/>
    <w:rsid w:val="002319B0"/>
    <w:rsid w:val="00231A8A"/>
    <w:rsid w:val="002505C9"/>
    <w:rsid w:val="00271C4E"/>
    <w:rsid w:val="00280A37"/>
    <w:rsid w:val="00287E68"/>
    <w:rsid w:val="00296564"/>
    <w:rsid w:val="002D1DD6"/>
    <w:rsid w:val="002D617D"/>
    <w:rsid w:val="002E72D6"/>
    <w:rsid w:val="003137DE"/>
    <w:rsid w:val="003179DC"/>
    <w:rsid w:val="00341FE1"/>
    <w:rsid w:val="00344A85"/>
    <w:rsid w:val="00346EAD"/>
    <w:rsid w:val="003605E5"/>
    <w:rsid w:val="00397F38"/>
    <w:rsid w:val="003C0BCE"/>
    <w:rsid w:val="003D5194"/>
    <w:rsid w:val="003E49C3"/>
    <w:rsid w:val="003F0B1F"/>
    <w:rsid w:val="003F262B"/>
    <w:rsid w:val="004113EA"/>
    <w:rsid w:val="0041443D"/>
    <w:rsid w:val="004156B0"/>
    <w:rsid w:val="00432F31"/>
    <w:rsid w:val="00437418"/>
    <w:rsid w:val="00441F6E"/>
    <w:rsid w:val="00452846"/>
    <w:rsid w:val="0045527B"/>
    <w:rsid w:val="00457AB0"/>
    <w:rsid w:val="00465D6C"/>
    <w:rsid w:val="00474B6E"/>
    <w:rsid w:val="00481E2C"/>
    <w:rsid w:val="004A1215"/>
    <w:rsid w:val="004B3023"/>
    <w:rsid w:val="004B34D4"/>
    <w:rsid w:val="004B51A3"/>
    <w:rsid w:val="004B643F"/>
    <w:rsid w:val="004C3CEF"/>
    <w:rsid w:val="004C76A0"/>
    <w:rsid w:val="004D6BC9"/>
    <w:rsid w:val="004D6EC5"/>
    <w:rsid w:val="004F5591"/>
    <w:rsid w:val="00500EF8"/>
    <w:rsid w:val="005077F1"/>
    <w:rsid w:val="00521CBF"/>
    <w:rsid w:val="00522B7B"/>
    <w:rsid w:val="00535618"/>
    <w:rsid w:val="00537D78"/>
    <w:rsid w:val="00562580"/>
    <w:rsid w:val="005923E1"/>
    <w:rsid w:val="00596659"/>
    <w:rsid w:val="005A3D7C"/>
    <w:rsid w:val="005A45FB"/>
    <w:rsid w:val="005A4C61"/>
    <w:rsid w:val="005C4A10"/>
    <w:rsid w:val="005C6983"/>
    <w:rsid w:val="005E3FEA"/>
    <w:rsid w:val="005E4259"/>
    <w:rsid w:val="005F0FEE"/>
    <w:rsid w:val="005F1B8F"/>
    <w:rsid w:val="00631D61"/>
    <w:rsid w:val="006454B6"/>
    <w:rsid w:val="00663716"/>
    <w:rsid w:val="00695CD8"/>
    <w:rsid w:val="006A0832"/>
    <w:rsid w:val="00704353"/>
    <w:rsid w:val="0074277C"/>
    <w:rsid w:val="00745CE0"/>
    <w:rsid w:val="0077485F"/>
    <w:rsid w:val="007949BC"/>
    <w:rsid w:val="007B3085"/>
    <w:rsid w:val="007B5EB8"/>
    <w:rsid w:val="007E0854"/>
    <w:rsid w:val="007F0918"/>
    <w:rsid w:val="00807088"/>
    <w:rsid w:val="00813569"/>
    <w:rsid w:val="00834B8E"/>
    <w:rsid w:val="008357C4"/>
    <w:rsid w:val="00837469"/>
    <w:rsid w:val="00870EEC"/>
    <w:rsid w:val="00881DB5"/>
    <w:rsid w:val="008A133A"/>
    <w:rsid w:val="008B0EE9"/>
    <w:rsid w:val="008D1CCE"/>
    <w:rsid w:val="008D4C47"/>
    <w:rsid w:val="008D5B63"/>
    <w:rsid w:val="008F389F"/>
    <w:rsid w:val="008F7A99"/>
    <w:rsid w:val="0095502A"/>
    <w:rsid w:val="009655B5"/>
    <w:rsid w:val="00983A39"/>
    <w:rsid w:val="0098681D"/>
    <w:rsid w:val="009A1F3F"/>
    <w:rsid w:val="009A39D4"/>
    <w:rsid w:val="009B425F"/>
    <w:rsid w:val="009D34E2"/>
    <w:rsid w:val="009D49E9"/>
    <w:rsid w:val="00A00D6D"/>
    <w:rsid w:val="00A30230"/>
    <w:rsid w:val="00A3282F"/>
    <w:rsid w:val="00A61EB5"/>
    <w:rsid w:val="00A6533D"/>
    <w:rsid w:val="00A7118B"/>
    <w:rsid w:val="00A711E8"/>
    <w:rsid w:val="00A87BC3"/>
    <w:rsid w:val="00AA19A5"/>
    <w:rsid w:val="00AA4CA2"/>
    <w:rsid w:val="00AC2BA8"/>
    <w:rsid w:val="00AD359F"/>
    <w:rsid w:val="00AE667D"/>
    <w:rsid w:val="00AF517C"/>
    <w:rsid w:val="00AF5731"/>
    <w:rsid w:val="00AF64F8"/>
    <w:rsid w:val="00B038A2"/>
    <w:rsid w:val="00B132D7"/>
    <w:rsid w:val="00B27E29"/>
    <w:rsid w:val="00B50194"/>
    <w:rsid w:val="00B75738"/>
    <w:rsid w:val="00B847AA"/>
    <w:rsid w:val="00B876F0"/>
    <w:rsid w:val="00BA2B36"/>
    <w:rsid w:val="00BB7A8A"/>
    <w:rsid w:val="00BC04AD"/>
    <w:rsid w:val="00BE15D0"/>
    <w:rsid w:val="00BE1ABA"/>
    <w:rsid w:val="00BE5A8E"/>
    <w:rsid w:val="00BF1465"/>
    <w:rsid w:val="00C06B82"/>
    <w:rsid w:val="00C235DF"/>
    <w:rsid w:val="00C268ED"/>
    <w:rsid w:val="00C26BF6"/>
    <w:rsid w:val="00C37C0D"/>
    <w:rsid w:val="00C44B52"/>
    <w:rsid w:val="00C533EC"/>
    <w:rsid w:val="00C96473"/>
    <w:rsid w:val="00CC74DA"/>
    <w:rsid w:val="00CE7D1A"/>
    <w:rsid w:val="00D01A7D"/>
    <w:rsid w:val="00D52C04"/>
    <w:rsid w:val="00D61440"/>
    <w:rsid w:val="00D832C3"/>
    <w:rsid w:val="00D95190"/>
    <w:rsid w:val="00D954D9"/>
    <w:rsid w:val="00DA644E"/>
    <w:rsid w:val="00DC4058"/>
    <w:rsid w:val="00DD1527"/>
    <w:rsid w:val="00DD6421"/>
    <w:rsid w:val="00DE1429"/>
    <w:rsid w:val="00E03849"/>
    <w:rsid w:val="00E118D1"/>
    <w:rsid w:val="00E232A9"/>
    <w:rsid w:val="00E26766"/>
    <w:rsid w:val="00E50C74"/>
    <w:rsid w:val="00E620DA"/>
    <w:rsid w:val="00E63CB2"/>
    <w:rsid w:val="00E83734"/>
    <w:rsid w:val="00E87AC3"/>
    <w:rsid w:val="00E9723E"/>
    <w:rsid w:val="00EA49A3"/>
    <w:rsid w:val="00EA53ED"/>
    <w:rsid w:val="00EA5C33"/>
    <w:rsid w:val="00EB3D4A"/>
    <w:rsid w:val="00EC1221"/>
    <w:rsid w:val="00EF110B"/>
    <w:rsid w:val="00F14121"/>
    <w:rsid w:val="00F14A26"/>
    <w:rsid w:val="00F215EF"/>
    <w:rsid w:val="00F24447"/>
    <w:rsid w:val="00F33165"/>
    <w:rsid w:val="00F366A7"/>
    <w:rsid w:val="00F922D5"/>
    <w:rsid w:val="00FB3A38"/>
    <w:rsid w:val="00FB79F0"/>
    <w:rsid w:val="00FD7F9C"/>
    <w:rsid w:val="00FE08D4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44D83-1979-4E0C-9C0C-32D77B5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B0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47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847AA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034A2F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34A2F"/>
    <w:rPr>
      <w:rFonts w:ascii="Calibri" w:eastAsia="Times New Roman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4A2F"/>
    <w:rPr>
      <w:rFonts w:ascii="Tahoma" w:hAnsi="Tahoma" w:cs="Tahoma"/>
      <w:sz w:val="16"/>
      <w:szCs w:val="16"/>
      <w:lang w:eastAsia="ja-JP"/>
    </w:rPr>
  </w:style>
  <w:style w:type="character" w:customStyle="1" w:styleId="EncabezadoCar">
    <w:name w:val="Encabezado Car"/>
    <w:link w:val="Encabezado"/>
    <w:uiPriority w:val="99"/>
    <w:rsid w:val="00034A2F"/>
    <w:rPr>
      <w:sz w:val="24"/>
      <w:szCs w:val="24"/>
      <w:lang w:eastAsia="ja-JP"/>
    </w:rPr>
  </w:style>
  <w:style w:type="character" w:customStyle="1" w:styleId="PiedepginaCar">
    <w:name w:val="Pie de página Car"/>
    <w:link w:val="Piedepgina"/>
    <w:uiPriority w:val="99"/>
    <w:rsid w:val="00034A2F"/>
    <w:rPr>
      <w:sz w:val="24"/>
      <w:szCs w:val="24"/>
      <w:lang w:eastAsia="ja-JP"/>
    </w:rPr>
  </w:style>
  <w:style w:type="character" w:styleId="Hipervnculo">
    <w:name w:val="Hyperlink"/>
    <w:uiPriority w:val="99"/>
    <w:unhideWhenUsed/>
    <w:rsid w:val="00C533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B36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Textoennegrita">
    <w:name w:val="Strong"/>
    <w:qFormat/>
    <w:rsid w:val="00BA2B36"/>
    <w:rPr>
      <w:b/>
      <w:bCs/>
    </w:rPr>
  </w:style>
  <w:style w:type="paragraph" w:styleId="Textoindependiente">
    <w:name w:val="Body Text"/>
    <w:basedOn w:val="Normal"/>
    <w:link w:val="TextoindependienteCar"/>
    <w:rsid w:val="007E0854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xtoindependienteCar">
    <w:name w:val="Texto independiente Car"/>
    <w:link w:val="Textoindependiente"/>
    <w:rsid w:val="007E0854"/>
    <w:rPr>
      <w:rFonts w:eastAsia="Lucida Sans Unicode"/>
      <w:kern w:val="1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DE1429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341FE1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rsid w:val="00B1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JAIALDI 2010</vt:lpstr>
    </vt:vector>
  </TitlesOfParts>
  <Company>...</Company>
  <LinksUpToDate>false</LinksUpToDate>
  <CharactersWithSpaces>8749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http://bit.ly/2n8DaYG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JAIALDI 2010</dc:title>
  <dc:subject>Delegación de la Diputación Foral de Bizkaia</dc:subject>
  <dc:creator>oia</dc:creator>
  <cp:keywords/>
  <cp:lastModifiedBy>Usuario</cp:lastModifiedBy>
  <cp:revision>4</cp:revision>
  <cp:lastPrinted>2018-03-19T08:05:00Z</cp:lastPrinted>
  <dcterms:created xsi:type="dcterms:W3CDTF">2018-03-27T06:43:00Z</dcterms:created>
  <dcterms:modified xsi:type="dcterms:W3CDTF">2018-03-27T07:06:00Z</dcterms:modified>
</cp:coreProperties>
</file>